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12D6" w14:textId="77777777" w:rsidR="00DA7F0F" w:rsidRPr="00DA7F0F" w:rsidRDefault="00DA7F0F" w:rsidP="00DA7F0F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theme="majorHAnsi"/>
          <w:b/>
          <w:bCs/>
          <w:sz w:val="24"/>
          <w:szCs w:val="24"/>
        </w:rPr>
      </w:pPr>
      <w:r w:rsidRPr="00DA7F0F">
        <w:rPr>
          <w:rFonts w:asciiTheme="majorHAnsi" w:eastAsia="Times New Roman" w:hAnsiTheme="majorHAnsi" w:cstheme="majorHAnsi"/>
          <w:b/>
          <w:bCs/>
          <w:sz w:val="24"/>
          <w:szCs w:val="24"/>
        </w:rPr>
        <w:t>What this document does for the defendant</w:t>
      </w:r>
    </w:p>
    <w:p w14:paraId="1C6E66F9" w14:textId="77777777" w:rsidR="00DA7F0F" w:rsidRPr="00DA7F0F" w:rsidRDefault="00DA7F0F" w:rsidP="00DA7F0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DA7F0F">
        <w:rPr>
          <w:rFonts w:asciiTheme="majorHAnsi" w:eastAsia="Times New Roman" w:hAnsiTheme="majorHAnsi" w:cstheme="majorHAnsi"/>
          <w:sz w:val="24"/>
          <w:szCs w:val="24"/>
        </w:rPr>
        <w:t xml:space="preserve">Identifies the </w:t>
      </w:r>
      <w:r w:rsidRPr="00DA7F0F">
        <w:rPr>
          <w:rFonts w:asciiTheme="majorHAnsi" w:eastAsia="Times New Roman" w:hAnsiTheme="majorHAnsi" w:cstheme="majorHAnsi"/>
          <w:b/>
          <w:bCs/>
          <w:sz w:val="24"/>
          <w:szCs w:val="24"/>
        </w:rPr>
        <w:t>actual governing rules</w:t>
      </w:r>
      <w:r w:rsidRPr="00DA7F0F">
        <w:rPr>
          <w:rFonts w:asciiTheme="majorHAnsi" w:eastAsia="Times New Roman" w:hAnsiTheme="majorHAnsi" w:cstheme="majorHAnsi"/>
          <w:sz w:val="24"/>
          <w:szCs w:val="24"/>
        </w:rPr>
        <w:t xml:space="preserve"> (</w:t>
      </w:r>
      <w:proofErr w:type="spellStart"/>
      <w:r w:rsidRPr="00DA7F0F">
        <w:rPr>
          <w:rFonts w:asciiTheme="majorHAnsi" w:eastAsia="Times New Roman" w:hAnsiTheme="majorHAnsi" w:cstheme="majorHAnsi"/>
          <w:sz w:val="24"/>
          <w:szCs w:val="24"/>
        </w:rPr>
        <w:t>RCr</w:t>
      </w:r>
      <w:proofErr w:type="spellEnd"/>
      <w:r w:rsidRPr="00DA7F0F">
        <w:rPr>
          <w:rFonts w:asciiTheme="majorHAnsi" w:eastAsia="Times New Roman" w:hAnsiTheme="majorHAnsi" w:cstheme="majorHAnsi"/>
          <w:sz w:val="24"/>
          <w:szCs w:val="24"/>
        </w:rPr>
        <w:t>, KRE, CR, KRS) — no folklore, no local myth</w:t>
      </w:r>
    </w:p>
    <w:p w14:paraId="52712005" w14:textId="77777777" w:rsidR="00DA7F0F" w:rsidRPr="00DA7F0F" w:rsidRDefault="00DA7F0F" w:rsidP="00DA7F0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DA7F0F">
        <w:rPr>
          <w:rFonts w:asciiTheme="majorHAnsi" w:eastAsia="Times New Roman" w:hAnsiTheme="majorHAnsi" w:cstheme="majorHAnsi"/>
          <w:sz w:val="24"/>
          <w:szCs w:val="24"/>
        </w:rPr>
        <w:t xml:space="preserve">Explains </w:t>
      </w:r>
      <w:r w:rsidRPr="00DA7F0F">
        <w:rPr>
          <w:rFonts w:asciiTheme="majorHAnsi" w:eastAsia="Times New Roman" w:hAnsiTheme="majorHAnsi" w:cstheme="majorHAnsi"/>
          <w:b/>
          <w:bCs/>
          <w:sz w:val="24"/>
          <w:szCs w:val="24"/>
        </w:rPr>
        <w:t>how the court actually functions</w:t>
      </w:r>
      <w:r w:rsidRPr="00DA7F0F">
        <w:rPr>
          <w:rFonts w:asciiTheme="majorHAnsi" w:eastAsia="Times New Roman" w:hAnsiTheme="majorHAnsi" w:cstheme="majorHAnsi"/>
          <w:sz w:val="24"/>
          <w:szCs w:val="24"/>
        </w:rPr>
        <w:t xml:space="preserve"> in a jury trial</w:t>
      </w:r>
    </w:p>
    <w:p w14:paraId="58E6372E" w14:textId="77777777" w:rsidR="00DA7F0F" w:rsidRPr="00DA7F0F" w:rsidRDefault="00DA7F0F" w:rsidP="00DA7F0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DA7F0F">
        <w:rPr>
          <w:rFonts w:asciiTheme="majorHAnsi" w:eastAsia="Times New Roman" w:hAnsiTheme="majorHAnsi" w:cstheme="majorHAnsi"/>
          <w:sz w:val="24"/>
          <w:szCs w:val="24"/>
        </w:rPr>
        <w:t xml:space="preserve">Distills the </w:t>
      </w:r>
      <w:r w:rsidRPr="00DA7F0F">
        <w:rPr>
          <w:rFonts w:asciiTheme="majorHAnsi" w:eastAsia="Times New Roman" w:hAnsiTheme="majorHAnsi" w:cstheme="majorHAnsi"/>
          <w:b/>
          <w:bCs/>
          <w:sz w:val="24"/>
          <w:szCs w:val="24"/>
        </w:rPr>
        <w:t>definitions that control outcome</w:t>
      </w:r>
      <w:r w:rsidRPr="00DA7F0F">
        <w:rPr>
          <w:rFonts w:asciiTheme="majorHAnsi" w:eastAsia="Times New Roman" w:hAnsiTheme="majorHAnsi" w:cstheme="majorHAnsi"/>
          <w:sz w:val="24"/>
          <w:szCs w:val="24"/>
        </w:rPr>
        <w:t xml:space="preserve"> in license / insurance / registration cases</w:t>
      </w:r>
    </w:p>
    <w:p w14:paraId="12DFD7F9" w14:textId="77777777" w:rsidR="00DA7F0F" w:rsidRPr="00DA7F0F" w:rsidRDefault="00DA7F0F" w:rsidP="00DA7F0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DA7F0F">
        <w:rPr>
          <w:rFonts w:asciiTheme="majorHAnsi" w:eastAsia="Times New Roman" w:hAnsiTheme="majorHAnsi" w:cstheme="majorHAnsi"/>
          <w:sz w:val="24"/>
          <w:szCs w:val="24"/>
        </w:rPr>
        <w:t xml:space="preserve">Keeps the focus on </w:t>
      </w:r>
      <w:r w:rsidRPr="00DA7F0F">
        <w:rPr>
          <w:rFonts w:asciiTheme="majorHAnsi" w:eastAsia="Times New Roman" w:hAnsiTheme="majorHAnsi" w:cstheme="majorHAnsi"/>
          <w:b/>
          <w:bCs/>
          <w:sz w:val="24"/>
          <w:szCs w:val="24"/>
        </w:rPr>
        <w:t>burden of proof, evidence, and posture</w:t>
      </w:r>
      <w:r w:rsidRPr="00DA7F0F">
        <w:rPr>
          <w:rFonts w:asciiTheme="majorHAnsi" w:eastAsia="Times New Roman" w:hAnsiTheme="majorHAnsi" w:cstheme="majorHAnsi"/>
          <w:sz w:val="24"/>
          <w:szCs w:val="24"/>
        </w:rPr>
        <w:t>, not theory</w:t>
      </w:r>
    </w:p>
    <w:p w14:paraId="306D3364" w14:textId="77777777" w:rsidR="00DA7F0F" w:rsidRPr="00DA7F0F" w:rsidRDefault="00DA7F0F" w:rsidP="00DA7F0F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DA7F0F">
        <w:rPr>
          <w:rFonts w:asciiTheme="majorHAnsi" w:eastAsia="Times New Roman" w:hAnsiTheme="majorHAnsi" w:cstheme="majorHAnsi"/>
          <w:sz w:val="24"/>
          <w:szCs w:val="24"/>
        </w:rPr>
        <w:t xml:space="preserve">This pairs cleanly with the </w:t>
      </w:r>
      <w:r w:rsidRPr="00DA7F0F">
        <w:rPr>
          <w:rFonts w:asciiTheme="majorHAnsi" w:eastAsia="Times New Roman" w:hAnsiTheme="majorHAnsi" w:cstheme="majorHAnsi"/>
          <w:b/>
          <w:bCs/>
          <w:sz w:val="24"/>
          <w:szCs w:val="24"/>
        </w:rPr>
        <w:t>WHAT NEXT</w:t>
      </w:r>
      <w:r w:rsidRPr="00DA7F0F">
        <w:rPr>
          <w:rFonts w:asciiTheme="majorHAnsi" w:eastAsia="Times New Roman" w:hAnsiTheme="majorHAnsi" w:cstheme="majorHAnsi"/>
          <w:sz w:val="24"/>
          <w:szCs w:val="24"/>
        </w:rPr>
        <w:t xml:space="preserve"> document and should be placed near the front of the trial binder.</w:t>
      </w:r>
    </w:p>
    <w:p w14:paraId="16E2D440" w14:textId="2493DB65" w:rsidR="00FA1D15" w:rsidRPr="00DA7F0F" w:rsidRDefault="00000000">
      <w:pPr>
        <w:pStyle w:val="Heading1"/>
        <w:rPr>
          <w:rFonts w:cstheme="majorHAnsi"/>
          <w:color w:val="auto"/>
          <w:sz w:val="24"/>
          <w:szCs w:val="24"/>
        </w:rPr>
      </w:pPr>
      <w:r w:rsidRPr="00DA7F0F">
        <w:rPr>
          <w:rFonts w:cstheme="majorHAnsi"/>
          <w:color w:val="auto"/>
          <w:sz w:val="24"/>
          <w:szCs w:val="24"/>
        </w:rPr>
        <w:t>Marion County, Kentucky – Court Rules Digest and Key Definitions</w:t>
      </w:r>
    </w:p>
    <w:p w14:paraId="16F557A5" w14:textId="77777777" w:rsidR="00FA1D15" w:rsidRPr="00DA7F0F" w:rsidRDefault="00000000">
      <w:pPr>
        <w:rPr>
          <w:rFonts w:asciiTheme="majorHAnsi" w:hAnsiTheme="majorHAnsi" w:cstheme="majorHAnsi"/>
          <w:sz w:val="24"/>
          <w:szCs w:val="24"/>
        </w:rPr>
      </w:pPr>
      <w:r w:rsidRPr="00DA7F0F">
        <w:rPr>
          <w:rFonts w:asciiTheme="majorHAnsi" w:hAnsiTheme="majorHAnsi" w:cstheme="majorHAnsi"/>
          <w:sz w:val="24"/>
          <w:szCs w:val="24"/>
        </w:rPr>
        <w:t>This document provides a practical digest of the governing court rules applicable to a jury trial in Marion County, Kentucky District Court, along with the key legal definitions relevant to charges of no driver’s license, no insurance, and no registration. It is written for a pro per defendant and is intended for preparation and orientation, not legal advice.</w:t>
      </w:r>
    </w:p>
    <w:p w14:paraId="5D3017DA" w14:textId="77777777" w:rsidR="00FA1D15" w:rsidRPr="00DA7F0F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DA7F0F">
        <w:rPr>
          <w:rFonts w:cstheme="majorHAnsi"/>
          <w:color w:val="auto"/>
          <w:sz w:val="24"/>
          <w:szCs w:val="24"/>
        </w:rPr>
        <w:t>I. Governing Rules and Sources</w:t>
      </w:r>
    </w:p>
    <w:p w14:paraId="190FE7E8" w14:textId="77777777" w:rsidR="00FA1D15" w:rsidRPr="00DA7F0F" w:rsidRDefault="00000000">
      <w:pPr>
        <w:rPr>
          <w:rFonts w:asciiTheme="majorHAnsi" w:hAnsiTheme="majorHAnsi" w:cstheme="majorHAnsi"/>
          <w:sz w:val="24"/>
          <w:szCs w:val="24"/>
        </w:rPr>
      </w:pPr>
      <w:r w:rsidRPr="00DA7F0F">
        <w:rPr>
          <w:rFonts w:asciiTheme="majorHAnsi" w:hAnsiTheme="majorHAnsi" w:cstheme="majorHAnsi"/>
          <w:sz w:val="24"/>
          <w:szCs w:val="24"/>
        </w:rPr>
        <w:t>Marion County District Court operates under statewide Kentucky court rules. There are no unique local rules governing jury trials beyond statewide authority.</w:t>
      </w:r>
    </w:p>
    <w:p w14:paraId="12405D5E" w14:textId="77777777" w:rsidR="00FA1D15" w:rsidRPr="00DA7F0F" w:rsidRDefault="00000000">
      <w:pPr>
        <w:rPr>
          <w:rFonts w:asciiTheme="majorHAnsi" w:hAnsiTheme="majorHAnsi" w:cstheme="majorHAnsi"/>
          <w:sz w:val="24"/>
          <w:szCs w:val="24"/>
        </w:rPr>
      </w:pPr>
      <w:r w:rsidRPr="00DA7F0F">
        <w:rPr>
          <w:rFonts w:asciiTheme="majorHAnsi" w:hAnsiTheme="majorHAnsi" w:cstheme="majorHAnsi"/>
          <w:sz w:val="24"/>
          <w:szCs w:val="24"/>
        </w:rPr>
        <w:t>Kentucky Rules of Criminal Procedure (RCr)</w:t>
      </w:r>
      <w:r w:rsidRPr="00DA7F0F">
        <w:rPr>
          <w:rFonts w:asciiTheme="majorHAnsi" w:hAnsiTheme="majorHAnsi" w:cstheme="majorHAnsi"/>
          <w:sz w:val="24"/>
          <w:szCs w:val="24"/>
        </w:rPr>
        <w:br/>
        <w:t>https://www.kycourts.gov/Courts/Supreme-Court/Supreme%20Court%20Rules/Rules_of_Criminal_Procedure.pdf</w:t>
      </w:r>
    </w:p>
    <w:p w14:paraId="4A4A8776" w14:textId="77777777" w:rsidR="00FA1D15" w:rsidRPr="00DA7F0F" w:rsidRDefault="00000000">
      <w:pPr>
        <w:rPr>
          <w:rFonts w:asciiTheme="majorHAnsi" w:hAnsiTheme="majorHAnsi" w:cstheme="majorHAnsi"/>
          <w:sz w:val="24"/>
          <w:szCs w:val="24"/>
        </w:rPr>
      </w:pPr>
      <w:r w:rsidRPr="00DA7F0F">
        <w:rPr>
          <w:rFonts w:asciiTheme="majorHAnsi" w:hAnsiTheme="majorHAnsi" w:cstheme="majorHAnsi"/>
          <w:sz w:val="24"/>
          <w:szCs w:val="24"/>
        </w:rPr>
        <w:t>Kentucky Rules of Evidence (KRE)</w:t>
      </w:r>
      <w:r w:rsidRPr="00DA7F0F">
        <w:rPr>
          <w:rFonts w:asciiTheme="majorHAnsi" w:hAnsiTheme="majorHAnsi" w:cstheme="majorHAnsi"/>
          <w:sz w:val="24"/>
          <w:szCs w:val="24"/>
        </w:rPr>
        <w:br/>
        <w:t>https://www.kycourts.gov/Courts/Supreme-Court/Supreme%20Court%20Rules/Rules_of_Evidence.pdf</w:t>
      </w:r>
    </w:p>
    <w:p w14:paraId="283B8911" w14:textId="77777777" w:rsidR="00FA1D15" w:rsidRPr="00DA7F0F" w:rsidRDefault="00000000">
      <w:pPr>
        <w:rPr>
          <w:rFonts w:asciiTheme="majorHAnsi" w:hAnsiTheme="majorHAnsi" w:cstheme="majorHAnsi"/>
          <w:sz w:val="24"/>
          <w:szCs w:val="24"/>
        </w:rPr>
      </w:pPr>
      <w:r w:rsidRPr="00DA7F0F">
        <w:rPr>
          <w:rFonts w:asciiTheme="majorHAnsi" w:hAnsiTheme="majorHAnsi" w:cstheme="majorHAnsi"/>
          <w:sz w:val="24"/>
          <w:szCs w:val="24"/>
        </w:rPr>
        <w:t>Kentucky Rules of Civil Procedure (CR)</w:t>
      </w:r>
      <w:r w:rsidRPr="00DA7F0F">
        <w:rPr>
          <w:rFonts w:asciiTheme="majorHAnsi" w:hAnsiTheme="majorHAnsi" w:cstheme="majorHAnsi"/>
          <w:sz w:val="24"/>
          <w:szCs w:val="24"/>
        </w:rPr>
        <w:br/>
        <w:t>https://www.kycourts.gov/Courts/Supreme-Court/Supreme%20Court%20Rules/Rules_of_Civil_Procedure.pdf</w:t>
      </w:r>
    </w:p>
    <w:p w14:paraId="0F062ACB" w14:textId="77777777" w:rsidR="00FA1D15" w:rsidRPr="00DA7F0F" w:rsidRDefault="00000000">
      <w:pPr>
        <w:rPr>
          <w:rFonts w:asciiTheme="majorHAnsi" w:hAnsiTheme="majorHAnsi" w:cstheme="majorHAnsi"/>
          <w:sz w:val="24"/>
          <w:szCs w:val="24"/>
        </w:rPr>
      </w:pPr>
      <w:r w:rsidRPr="00DA7F0F">
        <w:rPr>
          <w:rFonts w:asciiTheme="majorHAnsi" w:hAnsiTheme="majorHAnsi" w:cstheme="majorHAnsi"/>
          <w:sz w:val="24"/>
          <w:szCs w:val="24"/>
        </w:rPr>
        <w:t>District Court Jurisdiction – KRS 24A.110</w:t>
      </w:r>
      <w:r w:rsidRPr="00DA7F0F">
        <w:rPr>
          <w:rFonts w:asciiTheme="majorHAnsi" w:hAnsiTheme="majorHAnsi" w:cstheme="majorHAnsi"/>
          <w:sz w:val="24"/>
          <w:szCs w:val="24"/>
        </w:rPr>
        <w:br/>
        <w:t>https://apps.legislature.ky.gov/law/statutes/statute.aspx?id=45807</w:t>
      </w:r>
    </w:p>
    <w:p w14:paraId="7AA46A82" w14:textId="77777777" w:rsidR="00FA1D15" w:rsidRPr="00DA7F0F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DA7F0F">
        <w:rPr>
          <w:rFonts w:cstheme="majorHAnsi"/>
          <w:color w:val="auto"/>
          <w:sz w:val="24"/>
          <w:szCs w:val="24"/>
        </w:rPr>
        <w:t>II. Practical Trial Rules That Matter Most</w:t>
      </w:r>
    </w:p>
    <w:p w14:paraId="10970958" w14:textId="77777777" w:rsidR="00FA1D15" w:rsidRPr="00DA7F0F" w:rsidRDefault="00000000">
      <w:pPr>
        <w:rPr>
          <w:rFonts w:asciiTheme="majorHAnsi" w:hAnsiTheme="majorHAnsi" w:cstheme="majorHAnsi"/>
          <w:sz w:val="24"/>
          <w:szCs w:val="24"/>
        </w:rPr>
      </w:pPr>
      <w:r w:rsidRPr="00DA7F0F">
        <w:rPr>
          <w:rFonts w:asciiTheme="majorHAnsi" w:hAnsiTheme="majorHAnsi" w:cstheme="majorHAnsi"/>
          <w:sz w:val="24"/>
          <w:szCs w:val="24"/>
        </w:rPr>
        <w:t>The jury determines facts. The judge determines law. The Commonwealth bears the burden of proof on every element of each charge. The defendant bears no burden to prove innocence.</w:t>
      </w:r>
    </w:p>
    <w:p w14:paraId="0D4E4239" w14:textId="77777777" w:rsidR="00FA1D15" w:rsidRPr="00DA7F0F" w:rsidRDefault="00000000">
      <w:pPr>
        <w:rPr>
          <w:rFonts w:asciiTheme="majorHAnsi" w:hAnsiTheme="majorHAnsi" w:cstheme="majorHAnsi"/>
          <w:sz w:val="24"/>
          <w:szCs w:val="24"/>
        </w:rPr>
      </w:pPr>
      <w:r w:rsidRPr="00DA7F0F">
        <w:rPr>
          <w:rFonts w:asciiTheme="majorHAnsi" w:hAnsiTheme="majorHAnsi" w:cstheme="majorHAnsi"/>
          <w:sz w:val="24"/>
          <w:szCs w:val="24"/>
        </w:rPr>
        <w:lastRenderedPageBreak/>
        <w:t>Objections must be timely and specific. Preserve the record even if the objection is overruled.</w:t>
      </w:r>
    </w:p>
    <w:p w14:paraId="0E4F429A" w14:textId="77777777" w:rsidR="00FA1D15" w:rsidRPr="00DA7F0F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DA7F0F">
        <w:rPr>
          <w:rFonts w:cstheme="majorHAnsi"/>
          <w:color w:val="auto"/>
          <w:sz w:val="24"/>
          <w:szCs w:val="24"/>
        </w:rPr>
        <w:t>III. Evidence Rules Commonly Used</w:t>
      </w:r>
    </w:p>
    <w:p w14:paraId="11BAC2C6" w14:textId="77777777" w:rsidR="00FA1D15" w:rsidRPr="00DA7F0F" w:rsidRDefault="00000000">
      <w:pPr>
        <w:rPr>
          <w:rFonts w:asciiTheme="majorHAnsi" w:hAnsiTheme="majorHAnsi" w:cstheme="majorHAnsi"/>
          <w:sz w:val="24"/>
          <w:szCs w:val="24"/>
        </w:rPr>
      </w:pPr>
      <w:r w:rsidRPr="00DA7F0F">
        <w:rPr>
          <w:rFonts w:asciiTheme="majorHAnsi" w:hAnsiTheme="majorHAnsi" w:cstheme="majorHAnsi"/>
          <w:sz w:val="24"/>
          <w:szCs w:val="24"/>
        </w:rPr>
        <w:t>KRE 401 – Evidence must be relevant.</w:t>
      </w:r>
      <w:r w:rsidRPr="00DA7F0F">
        <w:rPr>
          <w:rFonts w:asciiTheme="majorHAnsi" w:hAnsiTheme="majorHAnsi" w:cstheme="majorHAnsi"/>
          <w:sz w:val="24"/>
          <w:szCs w:val="24"/>
        </w:rPr>
        <w:br/>
        <w:t>KRE 402 – Irrelevant evidence is inadmissible.</w:t>
      </w:r>
      <w:r w:rsidRPr="00DA7F0F">
        <w:rPr>
          <w:rFonts w:asciiTheme="majorHAnsi" w:hAnsiTheme="majorHAnsi" w:cstheme="majorHAnsi"/>
          <w:sz w:val="24"/>
          <w:szCs w:val="24"/>
        </w:rPr>
        <w:br/>
        <w:t>KRE 602 – Witnesses must have personal knowledge.</w:t>
      </w:r>
      <w:r w:rsidRPr="00DA7F0F">
        <w:rPr>
          <w:rFonts w:asciiTheme="majorHAnsi" w:hAnsiTheme="majorHAnsi" w:cstheme="majorHAnsi"/>
          <w:sz w:val="24"/>
          <w:szCs w:val="24"/>
        </w:rPr>
        <w:br/>
        <w:t>KRE 701 – Lay opinions are limited.</w:t>
      </w:r>
      <w:r w:rsidRPr="00DA7F0F">
        <w:rPr>
          <w:rFonts w:asciiTheme="majorHAnsi" w:hAnsiTheme="majorHAnsi" w:cstheme="majorHAnsi"/>
          <w:sz w:val="24"/>
          <w:szCs w:val="24"/>
        </w:rPr>
        <w:br/>
        <w:t>KRE 802 – Hearsay is not admissible unless an exception applies.</w:t>
      </w:r>
      <w:r w:rsidRPr="00DA7F0F">
        <w:rPr>
          <w:rFonts w:asciiTheme="majorHAnsi" w:hAnsiTheme="majorHAnsi" w:cstheme="majorHAnsi"/>
          <w:sz w:val="24"/>
          <w:szCs w:val="24"/>
        </w:rPr>
        <w:br/>
        <w:t>KRE 901 – Documents must be authenticated.</w:t>
      </w:r>
    </w:p>
    <w:p w14:paraId="44CEDB94" w14:textId="77777777" w:rsidR="00FA1D15" w:rsidRPr="00DA7F0F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DA7F0F">
        <w:rPr>
          <w:rFonts w:cstheme="majorHAnsi"/>
          <w:color w:val="auto"/>
          <w:sz w:val="24"/>
          <w:szCs w:val="24"/>
        </w:rPr>
        <w:t>IV. Key Definitions for This Trial</w:t>
      </w:r>
    </w:p>
    <w:p w14:paraId="4ECA98B4" w14:textId="77777777" w:rsidR="00FA1D15" w:rsidRPr="00DA7F0F" w:rsidRDefault="00000000">
      <w:pPr>
        <w:rPr>
          <w:rFonts w:asciiTheme="majorHAnsi" w:hAnsiTheme="majorHAnsi" w:cstheme="majorHAnsi"/>
          <w:sz w:val="24"/>
          <w:szCs w:val="24"/>
        </w:rPr>
      </w:pPr>
      <w:r w:rsidRPr="00DA7F0F">
        <w:rPr>
          <w:rFonts w:asciiTheme="majorHAnsi" w:hAnsiTheme="majorHAnsi" w:cstheme="majorHAnsi"/>
          <w:sz w:val="24"/>
          <w:szCs w:val="24"/>
        </w:rPr>
        <w:t>Operate / Operator: The Commonwealth must prove actual operation or control of the vehicle, not assumption.</w:t>
      </w:r>
    </w:p>
    <w:p w14:paraId="4D51065C" w14:textId="77777777" w:rsidR="00FA1D15" w:rsidRPr="00DA7F0F" w:rsidRDefault="00000000">
      <w:pPr>
        <w:rPr>
          <w:rFonts w:asciiTheme="majorHAnsi" w:hAnsiTheme="majorHAnsi" w:cstheme="majorHAnsi"/>
          <w:sz w:val="24"/>
          <w:szCs w:val="24"/>
        </w:rPr>
      </w:pPr>
      <w:r w:rsidRPr="00DA7F0F">
        <w:rPr>
          <w:rFonts w:asciiTheme="majorHAnsi" w:hAnsiTheme="majorHAnsi" w:cstheme="majorHAnsi"/>
          <w:sz w:val="24"/>
          <w:szCs w:val="24"/>
        </w:rPr>
        <w:t>Motor Vehicle: Registration and insurance requirements apply only to statutorily defined vehicles.</w:t>
      </w:r>
    </w:p>
    <w:p w14:paraId="386DD083" w14:textId="77777777" w:rsidR="00FA1D15" w:rsidRPr="00DA7F0F" w:rsidRDefault="00000000">
      <w:pPr>
        <w:rPr>
          <w:rFonts w:asciiTheme="majorHAnsi" w:hAnsiTheme="majorHAnsi" w:cstheme="majorHAnsi"/>
          <w:sz w:val="24"/>
          <w:szCs w:val="24"/>
        </w:rPr>
      </w:pPr>
      <w:r w:rsidRPr="00DA7F0F">
        <w:rPr>
          <w:rFonts w:asciiTheme="majorHAnsi" w:hAnsiTheme="majorHAnsi" w:cstheme="majorHAnsi"/>
          <w:sz w:val="24"/>
          <w:szCs w:val="24"/>
        </w:rPr>
        <w:t>License: A license is state permission. The Commonwealth must prove it was required and absent.</w:t>
      </w:r>
    </w:p>
    <w:p w14:paraId="67E50A4E" w14:textId="77777777" w:rsidR="00FA1D15" w:rsidRPr="00DA7F0F" w:rsidRDefault="00000000">
      <w:pPr>
        <w:rPr>
          <w:rFonts w:asciiTheme="majorHAnsi" w:hAnsiTheme="majorHAnsi" w:cstheme="majorHAnsi"/>
          <w:sz w:val="24"/>
          <w:szCs w:val="24"/>
        </w:rPr>
      </w:pPr>
      <w:r w:rsidRPr="00DA7F0F">
        <w:rPr>
          <w:rFonts w:asciiTheme="majorHAnsi" w:hAnsiTheme="majorHAnsi" w:cstheme="majorHAnsi"/>
          <w:sz w:val="24"/>
          <w:szCs w:val="24"/>
        </w:rPr>
        <w:t>Insurance: The Commonwealth must prove insurance was required and not in effect at the time of operation.</w:t>
      </w:r>
    </w:p>
    <w:p w14:paraId="58C92E92" w14:textId="77777777" w:rsidR="00FA1D15" w:rsidRPr="00DA7F0F" w:rsidRDefault="00000000">
      <w:pPr>
        <w:rPr>
          <w:rFonts w:asciiTheme="majorHAnsi" w:hAnsiTheme="majorHAnsi" w:cstheme="majorHAnsi"/>
          <w:sz w:val="24"/>
          <w:szCs w:val="24"/>
        </w:rPr>
      </w:pPr>
      <w:r w:rsidRPr="00DA7F0F">
        <w:rPr>
          <w:rFonts w:asciiTheme="majorHAnsi" w:hAnsiTheme="majorHAnsi" w:cstheme="majorHAnsi"/>
          <w:sz w:val="24"/>
          <w:szCs w:val="24"/>
        </w:rPr>
        <w:t>Registration: Registration applies to vehicles, not people. Status must be proven, not presumed.</w:t>
      </w:r>
    </w:p>
    <w:p w14:paraId="390C87E2" w14:textId="77777777" w:rsidR="00FA1D15" w:rsidRPr="00DA7F0F" w:rsidRDefault="00000000">
      <w:pPr>
        <w:rPr>
          <w:rFonts w:asciiTheme="majorHAnsi" w:hAnsiTheme="majorHAnsi" w:cstheme="majorHAnsi"/>
          <w:sz w:val="24"/>
          <w:szCs w:val="24"/>
        </w:rPr>
      </w:pPr>
      <w:r w:rsidRPr="00DA7F0F">
        <w:rPr>
          <w:rFonts w:asciiTheme="majorHAnsi" w:hAnsiTheme="majorHAnsi" w:cstheme="majorHAnsi"/>
          <w:sz w:val="24"/>
          <w:szCs w:val="24"/>
        </w:rPr>
        <w:t>Required: ‘Required by law’ must be supported by statute or regulation, not policy or custom.</w:t>
      </w:r>
    </w:p>
    <w:p w14:paraId="30C5B1B5" w14:textId="77777777" w:rsidR="00FA1D15" w:rsidRPr="00DA7F0F" w:rsidRDefault="00000000">
      <w:pPr>
        <w:rPr>
          <w:rFonts w:asciiTheme="majorHAnsi" w:hAnsiTheme="majorHAnsi" w:cstheme="majorHAnsi"/>
          <w:sz w:val="24"/>
          <w:szCs w:val="24"/>
        </w:rPr>
      </w:pPr>
      <w:r w:rsidRPr="00DA7F0F">
        <w:rPr>
          <w:rFonts w:asciiTheme="majorHAnsi" w:hAnsiTheme="majorHAnsi" w:cstheme="majorHAnsi"/>
          <w:sz w:val="24"/>
          <w:szCs w:val="24"/>
        </w:rPr>
        <w:t>Jurisdiction: Jurisdiction requires statutory authority and a factual trigger.</w:t>
      </w:r>
    </w:p>
    <w:p w14:paraId="2B3F46F8" w14:textId="77777777" w:rsidR="00FA1D15" w:rsidRPr="00DA7F0F" w:rsidRDefault="00000000">
      <w:pPr>
        <w:rPr>
          <w:rFonts w:asciiTheme="majorHAnsi" w:hAnsiTheme="majorHAnsi" w:cstheme="majorHAnsi"/>
          <w:sz w:val="24"/>
          <w:szCs w:val="24"/>
        </w:rPr>
      </w:pPr>
      <w:r w:rsidRPr="00DA7F0F">
        <w:rPr>
          <w:rFonts w:asciiTheme="majorHAnsi" w:hAnsiTheme="majorHAnsi" w:cstheme="majorHAnsi"/>
          <w:sz w:val="24"/>
          <w:szCs w:val="24"/>
        </w:rPr>
        <w:t>Good Faith: Good faith affects intent and jury perception.</w:t>
      </w:r>
    </w:p>
    <w:p w14:paraId="3592663F" w14:textId="77777777" w:rsidR="00FA1D15" w:rsidRPr="00DA7F0F" w:rsidRDefault="00000000">
      <w:pPr>
        <w:pStyle w:val="Heading2"/>
        <w:rPr>
          <w:rFonts w:cstheme="majorHAnsi"/>
          <w:color w:val="auto"/>
          <w:sz w:val="24"/>
          <w:szCs w:val="24"/>
        </w:rPr>
      </w:pPr>
      <w:r w:rsidRPr="00DA7F0F">
        <w:rPr>
          <w:rFonts w:cstheme="majorHAnsi"/>
          <w:color w:val="auto"/>
          <w:sz w:val="24"/>
          <w:szCs w:val="24"/>
        </w:rPr>
        <w:t>V. Practical Guidance</w:t>
      </w:r>
    </w:p>
    <w:p w14:paraId="4C6943AC" w14:textId="77777777" w:rsidR="00FA1D15" w:rsidRPr="00DA7F0F" w:rsidRDefault="00000000">
      <w:pPr>
        <w:rPr>
          <w:rFonts w:asciiTheme="majorHAnsi" w:hAnsiTheme="majorHAnsi" w:cstheme="majorHAnsi"/>
          <w:sz w:val="24"/>
          <w:szCs w:val="24"/>
        </w:rPr>
      </w:pPr>
      <w:r w:rsidRPr="00DA7F0F">
        <w:rPr>
          <w:rFonts w:asciiTheme="majorHAnsi" w:hAnsiTheme="majorHAnsi" w:cstheme="majorHAnsi"/>
          <w:sz w:val="24"/>
          <w:szCs w:val="24"/>
        </w:rPr>
        <w:t>Focus on posture, clarity, and proof. Calm presentation preserves credibility and rights.</w:t>
      </w:r>
    </w:p>
    <w:sectPr w:rsidR="00FA1D15" w:rsidRPr="00DA7F0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ABE5532"/>
    <w:multiLevelType w:val="multilevel"/>
    <w:tmpl w:val="2E4A2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1821062">
    <w:abstractNumId w:val="8"/>
  </w:num>
  <w:num w:numId="2" w16cid:durableId="1407991359">
    <w:abstractNumId w:val="6"/>
  </w:num>
  <w:num w:numId="3" w16cid:durableId="627932068">
    <w:abstractNumId w:val="5"/>
  </w:num>
  <w:num w:numId="4" w16cid:durableId="1596131291">
    <w:abstractNumId w:val="4"/>
  </w:num>
  <w:num w:numId="5" w16cid:durableId="1097138873">
    <w:abstractNumId w:val="7"/>
  </w:num>
  <w:num w:numId="6" w16cid:durableId="1435130335">
    <w:abstractNumId w:val="3"/>
  </w:num>
  <w:num w:numId="7" w16cid:durableId="1895659010">
    <w:abstractNumId w:val="2"/>
  </w:num>
  <w:num w:numId="8" w16cid:durableId="1386952613">
    <w:abstractNumId w:val="1"/>
  </w:num>
  <w:num w:numId="9" w16cid:durableId="675569742">
    <w:abstractNumId w:val="0"/>
  </w:num>
  <w:num w:numId="10" w16cid:durableId="16467348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7F42E5"/>
    <w:rsid w:val="00AA1D8D"/>
    <w:rsid w:val="00B47730"/>
    <w:rsid w:val="00CB0664"/>
    <w:rsid w:val="00DA7F0F"/>
    <w:rsid w:val="00FA1D1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BC2DDE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2025-12-17T17:09:00Z</dcterms:created>
  <dcterms:modified xsi:type="dcterms:W3CDTF">2025-12-17T17:09:00Z</dcterms:modified>
  <cp:category/>
</cp:coreProperties>
</file>